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Pr>
        <w:t xml:space="preserve">Personal Reflection on Cultural Identity</w:t>
      </w:r>
    </w:p>
    <w:p/>
    <w:p>
      <w:pPr>
        <w:spacing w:after="150"/>
      </w:pPr>
      <w:r>
        <w:rPr>
          <w:sz w:val="24"/>
          <w:szCs w:val="24"/>
        </w:rPr>
        <w:t xml:space="preserve">Growing up between two cultures has given me a unique perspective on the nature of identity itself. Born in Taipei to Taiwanese parents, I moved to London at the age of seven. For the first few years, I desperately wanted to fit in with my British classmates, hiding my lunch from home and asking my parents to speak English in public. Looking back, I realise this was my first encounter with the tension between belonging and authenticity.</w:t>
      </w:r>
    </w:p>
    <w:p/>
    <w:p>
      <w:pPr>
        <w:spacing w:after="150"/>
      </w:pPr>
      <w:r>
        <w:rPr>
          <w:sz w:val="24"/>
          <w:szCs w:val="24"/>
        </w:rPr>
        <w:t xml:space="preserve">The concept of cultural identity is far more fluid than I once believed. As a child, I saw culture as an either-or choice: I could be Taiwanese or British, but not both. This binary thinking caused real distress. At school, I felt too Taiwanese to be truly British. At family gatherings in Taipei, my cousins teased me for my accent and my unfamiliarity with local trends. I existed in a space that felt like neither here nor there.</w:t>
      </w:r>
    </w:p>
    <w:p/>
    <w:p>
      <w:pPr>
        <w:spacing w:after="150"/>
      </w:pPr>
      <w:r>
        <w:rPr>
          <w:sz w:val="24"/>
          <w:szCs w:val="24"/>
        </w:rPr>
        <w:t xml:space="preserve">A turning point came during my GCSE years when I studied the concept of hybridity in English literature. Reading Zadie Smith and Chimamanda Ngozi Adichie opened my eyes to the possibility that existing between cultures was not a deficit but a strength. Smith writes about characters who navigate multiple cultural spaces with a fluency that monocultural people simply cannot achieve. This resonated deeply with my own experience.</w:t>
      </w:r>
    </w:p>
    <w:p/>
    <w:p>
      <w:pPr>
        <w:spacing w:after="150"/>
      </w:pPr>
      <w:r>
        <w:rPr>
          <w:sz w:val="24"/>
          <w:szCs w:val="24"/>
        </w:rPr>
        <w:t xml:space="preserve">I began to see my bilingualism not as a source of embarrassment but as a cognitive advantage. Research in linguistics suggests that bilingual individuals develop stronger executive function and greater cognitive flexibility. Beyond the cognitive benefits, speaking both Mandarin and English allows me to connect with people across two vast linguistic communities. I can translate not just words but cultural concepts, bridging gaps that would otherwise remain unbridged.</w:t>
      </w:r>
    </w:p>
    <w:p/>
    <w:p>
      <w:pPr>
        <w:spacing w:after="150"/>
      </w:pPr>
      <w:r>
        <w:rPr>
          <w:sz w:val="24"/>
          <w:szCs w:val="24"/>
        </w:rPr>
        <w:t xml:space="preserve">Today, I embrace what the scholar Homi Bhabha calls the third space - a cultural position that is neither one thing nor another but something entirely new. My identity is not half-Taiwanese and half-British. It is something whole and distinct, shaped by both traditions but belonging to neither exclusively. When I cook my grandmother's recipes with British ingredients, or when I explain British humour to my Taiwanese relatives, I am creating something that did not exist before.</w:t>
      </w:r>
    </w:p>
    <w:p/>
    <w:p>
      <w:pPr>
        <w:spacing w:after="150"/>
      </w:pPr>
      <w:r>
        <w:rPr>
          <w:sz w:val="24"/>
          <w:szCs w:val="24"/>
        </w:rPr>
        <w:t xml:space="preserve">This reflection has taught me that knowledge itself is shaped by cultural perspective. What counts as evidence, what constitutes a valid argument, and even what questions are worth asking all depend on the cultural framework through which we view the world. My dual perspective has made me acutely aware of these frameworks, and I believe this awareness is essential for genuine understanding.</w:t>
      </w:r>
    </w:p>
    <w:p>
      <w:pPr>
        <w:spacing w:before="400"/>
      </w:pPr>
    </w:p>
    <w:p>
      <w:pPr>
        <w:spacing w:after="200"/>
      </w:pPr>
      <w:r>
        <w:rPr>
          <w:b/>
          <w:bCs/>
          <w:color w:val="666666"/>
          <w:sz w:val="20"/>
          <w:szCs w:val="20"/>
        </w:rPr>
        <w:t xml:space="preserve">--- TeachSpeak Feedback Table (run macro to convert to comments) ---</w:t>
      </w:r>
    </w:p>
    <w:tbl>
      <w:tblPr>
        <w:tblW w:type="pct" w:w="100%"/>
        <w:tblBorders>
          <w:top w:val="single" w:sz="1"/>
          <w:left w:val="single" w:sz="1"/>
          <w:bottom w:val="single" w:sz="1"/>
          <w:right w:val="single" w:sz="1"/>
          <w:insideH w:val="single" w:sz="1"/>
          <w:insideV w:val="single" w:sz="1"/>
        </w:tblBorders>
      </w:tblPr>
      <w:tblGrid>
        <w:gridCol w:w="100"/>
        <w:gridCol w:w="100"/>
      </w:tblGrid>
      <w:tr>
        <w:trPr>
          <w:tblHeader/>
        </w:trPr>
        <w:tc>
          <w:tcPr>
            <w:tcW w:type="pct" w:w="40%"/>
          </w:tcPr>
          <w:p>
            <w:r>
              <w:rPr>
                <w:b/>
                <w:bCs/>
              </w:rPr>
              <w:t xml:space="preserve">Anchor Phrase</w:t>
            </w:r>
          </w:p>
        </w:tc>
        <w:tc>
          <w:tcPr>
            <w:tcW w:type="pct" w:w="60%"/>
          </w:tcPr>
          <w:p>
            <w:r>
              <w:rPr>
                <w:b/>
                <w:bCs/>
              </w:rPr>
              <w:t xml:space="preserve">Feedback Comment</w:t>
            </w:r>
          </w:p>
        </w:tc>
      </w:tr>
      <w:tr>
        <w:tc>
          <w:p>
            <w:r>
              <w:rPr>
                <w:i/>
                <w:iCs/>
              </w:rPr>
              <w:t xml:space="preserve">hiding my lunch from home and asking my parents to speak English in public</w:t>
            </w:r>
          </w:p>
        </w:tc>
        <w:tc>
          <w:p>
            <w:r>
              <w:t xml:space="preserve">This personal detail is powerful and specific. It immediately grounds your abstract topic in lived experience. Readers can picture this moment clearly.</w:t>
            </w:r>
          </w:p>
        </w:tc>
      </w:tr>
      <w:tr>
        <w:tc>
          <w:p>
            <w:r>
              <w:rPr>
                <w:i/>
                <w:iCs/>
              </w:rPr>
              <w:t xml:space="preserve">I could be Taiwanese or British, but not both</w:t>
            </w:r>
          </w:p>
        </w:tc>
        <w:tc>
          <w:p>
            <w:r>
              <w:t xml:space="preserve">This clearly articulates the binary thinking you later challenge. Consider returning to this exact phrasing in your conclusion to show how your understanding has evolved.</w:t>
            </w:r>
          </w:p>
        </w:tc>
      </w:tr>
      <w:tr>
        <w:tc>
          <w:p>
            <w:r>
              <w:rPr>
                <w:i/>
                <w:iCs/>
              </w:rPr>
              <w:t xml:space="preserve">Reading Zadie Smith and Chimamanda Ngozi Adichie opened my eyes to the possibility that existing between cultures was not a deficit but a strength</w:t>
            </w:r>
          </w:p>
        </w:tc>
        <w:tc>
          <w:p>
            <w:r>
              <w:t xml:space="preserve">Good use of literary references. However, you could strengthen this by including a specific quote or passage that particularly resonated. Which of Smith's characters do you identify with most?</w:t>
            </w:r>
          </w:p>
        </w:tc>
      </w:tr>
      <w:tr>
        <w:tc>
          <w:p>
            <w:r>
              <w:rPr>
                <w:i/>
                <w:iCs/>
              </w:rPr>
              <w:t xml:space="preserve">Research in linguistics suggests that bilingual individuals develop stronger executive function</w:t>
            </w:r>
          </w:p>
        </w:tc>
        <w:tc>
          <w:p>
            <w:r>
              <w:t xml:space="preserve">You shift from personal narrative to research evidence here. The transition feels abrupt. Can you connect this research back to your own experience? When did YOU notice this cognitive flexibility?</w:t>
            </w:r>
          </w:p>
        </w:tc>
      </w:tr>
      <w:tr>
        <w:tc>
          <w:p>
            <w:r>
              <w:rPr>
                <w:i/>
                <w:iCs/>
              </w:rPr>
              <w:t xml:space="preserve">What counts as evidence, what constitutes a valid argument, and even what questions are worth asking</w:t>
            </w:r>
          </w:p>
        </w:tc>
        <w:tc>
          <w:p>
            <w:r>
              <w:t xml:space="preserve">Excellent TOK connection. This is exactly the kind of epistemic awareness the course values. You might develop this further - can you give a specific example of how your dual perspective changes what you consider 'evidence'?</w:t>
            </w:r>
          </w:p>
        </w:tc>
      </w:tr>
    </w:tbl>
    <w:p>
      <w:pPr>
        <w:spacing w:before="400"/>
      </w:pPr>
    </w:p>
    <w:p>
      <w:pPr>
        <w:spacing w:after="200"/>
      </w:pPr>
      <w:r>
        <w:rPr>
          <w:b/>
          <w:bCs/>
          <w:sz w:val="28"/>
          <w:szCs w:val="28"/>
        </w:rPr>
        <w:t xml:space="preserve">Overall Feedback</w:t>
      </w:r>
    </w:p>
    <w:p>
      <w:pPr>
        <w:spacing w:after="150"/>
      </w:pPr>
      <w:r>
        <w:rPr>
          <w:b/>
          <w:bCs/>
        </w:rPr>
        <w:t xml:space="preserve">1. </w:t>
      </w:r>
      <w:r>
        <w:t xml:space="preserve">Your personal voice is strong and authentic throughout. You successfully weave personal experience with academic concepts, which is exactly what a TOK reflection should do.</w:t>
      </w:r>
    </w:p>
    <w:p>
      <w:pPr>
        <w:spacing w:after="150"/>
      </w:pPr>
      <w:r>
        <w:rPr>
          <w:b/>
          <w:bCs/>
        </w:rPr>
        <w:t xml:space="preserve">2. </w:t>
      </w:r>
      <w:r>
        <w:t xml:space="preserve">Consider deepening your engagement with Bhabha's 'third space' concept. You mention it once but don't fully explore how it applies to your knowledge-making process. This could be the theoretical backbone of your reflection.</w:t>
      </w:r>
    </w:p>
    <w:p>
      <w:pPr>
        <w:spacing w:after="150"/>
      </w:pPr>
      <w:r>
        <w:rPr>
          <w:b/>
          <w:bCs/>
        </w:rPr>
        <w:t xml:space="preserve">3. </w:t>
      </w:r>
      <w:r>
        <w:t xml:space="preserve">Your next step should be adding specific examples where your dual cultural perspective led you to a different understanding than your monocultural peers. This would make your abstract claims concrete and demonstrate genuine TOK thinking.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2026-02-01T09:27:12.828Z</dcterms:created>
  <dcterms:modified xsi:type="dcterms:W3CDTF">2026-02-01T09:27:12.828Z</dcterms:modified>
</cp:coreProperties>
</file>

<file path=docProps/custom.xml><?xml version="1.0" encoding="utf-8"?>
<Properties xmlns="http://schemas.openxmlformats.org/officeDocument/2006/custom-properties" xmlns:vt="http://schemas.openxmlformats.org/officeDocument/2006/docPropsVTypes"/>
</file>